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pPr>
      <w:r>
        <w:rPr>
          <w:b/>
          <w:bCs/>
        </w:rPr>
        <w:t>MANIFESTAZIONE DI INTERESSE PER LA MESSA A DISPOSIZIONE DI AREE PUBBLICHE E PRIVATE IDONEE AD OSPITARE ATTIVITÀ DI SPETTACOLO VIAGGIANTE</w:t>
      </w:r>
    </w:p>
    <w:p>
      <w:pPr>
        <w:pStyle w:val="Normal"/>
        <w:spacing w:before="0" w:after="0"/>
        <w:rPr>
          <w:b/>
          <w:bCs/>
        </w:rPr>
      </w:pPr>
      <w:r>
        <w:rPr>
          <w:b/>
          <w:bCs/>
        </w:rPr>
      </w:r>
    </w:p>
    <w:p>
      <w:pPr>
        <w:pStyle w:val="Normal"/>
        <w:spacing w:before="0" w:after="0"/>
        <w:rPr/>
      </w:pPr>
      <w:r>
        <w:rPr>
          <w:b/>
          <w:bCs/>
        </w:rPr>
        <w:t>L’Amministrazione comunale di Spoleto</w:t>
      </w:r>
    </w:p>
    <w:p>
      <w:pPr>
        <w:pStyle w:val="Normal"/>
        <w:spacing w:before="0" w:after="0"/>
        <w:rPr>
          <w:b/>
          <w:bCs/>
        </w:rPr>
      </w:pPr>
      <w:r>
        <w:rPr>
          <w:b/>
          <w:bCs/>
        </w:rPr>
      </w:r>
    </w:p>
    <w:p>
      <w:pPr>
        <w:pStyle w:val="Normal"/>
        <w:spacing w:before="0" w:after="0"/>
        <w:rPr/>
      </w:pPr>
      <w:r>
        <w:rPr>
          <w:b/>
          <w:bCs/>
        </w:rPr>
        <w:t>PREMESSO CHE</w:t>
      </w:r>
    </w:p>
    <w:p>
      <w:pPr>
        <w:pStyle w:val="Normal"/>
        <w:widowControl/>
        <w:numPr>
          <w:ilvl w:val="0"/>
          <w:numId w:val="1"/>
        </w:numPr>
        <w:suppressAutoHyphens w:val="true"/>
        <w:bidi w:val="0"/>
        <w:spacing w:lineRule="auto" w:line="259" w:before="0" w:after="0"/>
        <w:ind w:hanging="340" w:left="283" w:right="0"/>
        <w:jc w:val="both"/>
        <w:rPr/>
      </w:pPr>
      <w:r>
        <w:rPr/>
        <w:t>il Comune di Spoleto - in ottemperanza alla Legge n. 337/1968 - ha la necessità di reperire spazi idonei per accogliere le attività dello spettacolo viaggiante;</w:t>
      </w:r>
    </w:p>
    <w:p>
      <w:pPr>
        <w:pStyle w:val="Normal"/>
        <w:widowControl/>
        <w:numPr>
          <w:ilvl w:val="0"/>
          <w:numId w:val="1"/>
        </w:numPr>
        <w:suppressAutoHyphens w:val="true"/>
        <w:bidi w:val="0"/>
        <w:spacing w:lineRule="auto" w:line="259" w:before="0" w:after="0"/>
        <w:ind w:hanging="340" w:left="283" w:right="0"/>
        <w:jc w:val="both"/>
        <w:rPr/>
      </w:pPr>
      <w:r>
        <w:rPr/>
        <w:t xml:space="preserve">al momento il Comune di Spoleto non dispone di aree idonee ad ospitare in modo adeguato gli spettacoli viaggianti;  </w:t>
      </w:r>
    </w:p>
    <w:p>
      <w:pPr>
        <w:pStyle w:val="Normal"/>
        <w:widowControl/>
        <w:numPr>
          <w:ilvl w:val="0"/>
          <w:numId w:val="1"/>
        </w:numPr>
        <w:suppressAutoHyphens w:val="true"/>
        <w:bidi w:val="0"/>
        <w:spacing w:lineRule="auto" w:line="259" w:before="0" w:after="0"/>
        <w:ind w:hanging="340" w:left="283" w:right="0"/>
        <w:jc w:val="both"/>
        <w:rPr/>
      </w:pPr>
      <w:r>
        <w:rPr/>
        <w:t xml:space="preserve">nelle more dell’individuazione di un’area da destinare allo scopo in modo permanente, il Comune ha deciso di pubblicare il presente avviso di manifestazione d’interesse al fine di reperire sul mercato un’area adeguata; </w:t>
      </w:r>
    </w:p>
    <w:p>
      <w:pPr>
        <w:pStyle w:val="Normal"/>
        <w:spacing w:before="0" w:after="0"/>
        <w:jc w:val="left"/>
        <w:rPr>
          <w:b/>
          <w:bCs/>
        </w:rPr>
      </w:pPr>
      <w:r>
        <w:rPr>
          <w:b/>
          <w:bCs/>
        </w:rPr>
      </w:r>
    </w:p>
    <w:p>
      <w:pPr>
        <w:pStyle w:val="Normal"/>
        <w:spacing w:before="0" w:after="0"/>
        <w:jc w:val="left"/>
        <w:rPr/>
      </w:pPr>
      <w:r>
        <w:rPr>
          <w:b/>
          <w:bCs/>
        </w:rPr>
        <w:t>RENDE NOTO</w:t>
      </w:r>
    </w:p>
    <w:p>
      <w:pPr>
        <w:pStyle w:val="Normal"/>
        <w:spacing w:before="0" w:after="0"/>
        <w:jc w:val="both"/>
        <w:rPr/>
      </w:pPr>
      <w:r>
        <w:rPr/>
        <w:t xml:space="preserve">che intende acquisire manifestazioni di interesse da parte di soggetti pubblici e privati proprietari di terreni che intendano mettere a disposizione per ospitare le attività di spettacolo viaggiante (luna park, circhi, etc.); </w:t>
      </w:r>
    </w:p>
    <w:p>
      <w:pPr>
        <w:pStyle w:val="Normal"/>
        <w:spacing w:before="0" w:after="0"/>
        <w:rPr>
          <w:b/>
          <w:bCs/>
        </w:rPr>
      </w:pPr>
      <w:r>
        <w:rPr>
          <w:b/>
          <w:bCs/>
        </w:rPr>
      </w:r>
    </w:p>
    <w:p>
      <w:pPr>
        <w:pStyle w:val="Normal"/>
        <w:spacing w:before="0" w:after="0"/>
        <w:rPr/>
      </w:pPr>
      <w:r>
        <w:rPr>
          <w:b/>
          <w:bCs/>
        </w:rPr>
        <w:t>CONDIZIONI DELL'AFFIDAMENTO</w:t>
      </w:r>
    </w:p>
    <w:p>
      <w:pPr>
        <w:pStyle w:val="Normal"/>
        <w:spacing w:before="0" w:after="0"/>
        <w:jc w:val="both"/>
        <w:rPr/>
      </w:pPr>
      <w:r>
        <w:rPr/>
        <w:t>1)</w:t>
        <w:tab/>
      </w:r>
      <w:r>
        <w:rPr>
          <w:b/>
          <w:bCs/>
        </w:rPr>
        <w:t>Durata del contratto:</w:t>
      </w:r>
      <w:r>
        <w:rPr/>
        <w:t xml:space="preserve"> 2 anni;</w:t>
      </w:r>
    </w:p>
    <w:p>
      <w:pPr>
        <w:pStyle w:val="Normal"/>
        <w:spacing w:before="0" w:after="0"/>
        <w:jc w:val="both"/>
        <w:rPr/>
      </w:pPr>
      <w:r>
        <w:rPr/>
        <w:t>2)</w:t>
        <w:tab/>
      </w:r>
      <w:r>
        <w:rPr>
          <w:b/>
          <w:bCs/>
        </w:rPr>
        <w:t>Importo del canone:</w:t>
      </w:r>
      <w:r>
        <w:rPr/>
        <w:t xml:space="preserve"> non si prevede il pagamento di un canone minimo ma al proprietario potrà </w:t>
        <w:tab/>
        <w:t xml:space="preserve">essere riconosciuto solo un canone massimo non superiore al 90% del canone unico patrimoniale – </w:t>
        <w:tab/>
        <w:t xml:space="preserve">ramo occupazione suolo pubblico previsto per questo tipo di attività. (A titolo indicativo e sulla </w:t>
        <w:tab/>
        <w:t xml:space="preserve">scorta </w:t>
        <w:tab/>
        <w:t>del dato storico, si prevede che l’importo potrebbe essere di circa 1.800,00 € l’anno).</w:t>
      </w:r>
    </w:p>
    <w:p>
      <w:pPr>
        <w:pStyle w:val="Normal"/>
        <w:spacing w:before="0" w:after="0"/>
        <w:jc w:val="both"/>
        <w:rPr/>
      </w:pPr>
      <w:r>
        <w:rPr/>
        <w:t>3)</w:t>
        <w:tab/>
      </w:r>
      <w:r>
        <w:rPr>
          <w:b/>
          <w:bCs/>
        </w:rPr>
        <w:t>Condizioni particolari:</w:t>
      </w:r>
      <w:r>
        <w:rPr/>
        <w:t xml:space="preserve"> In considerazione del fatto che l’area potrebbe anche restare inutilizzata, al </w:t>
        <w:tab/>
        <w:t xml:space="preserve">proprietario potrà essere consentito di utilizzare il terreno, tenendo conto del fatto che il Comune, </w:t>
        <w:tab/>
        <w:t xml:space="preserve">prima ogni utilizzo, dovrà darne comunicazione al proprietario a mezzo PEC con almeno 30 giorni di </w:t>
        <w:tab/>
        <w:t xml:space="preserve">anticipo, in modo tale che il proprietario possa riportare il terreno nello stato in cui si trovava al </w:t>
        <w:tab/>
        <w:t>momento della firma del contratto;</w:t>
      </w:r>
    </w:p>
    <w:p>
      <w:pPr>
        <w:pStyle w:val="Normal"/>
        <w:spacing w:before="0" w:after="0"/>
        <w:jc w:val="both"/>
        <w:rPr/>
      </w:pPr>
      <w:r>
        <w:rPr/>
        <w:t>4)</w:t>
        <w:tab/>
      </w:r>
      <w:r>
        <w:rPr>
          <w:b/>
          <w:bCs/>
        </w:rPr>
        <w:t>Ubicazione:</w:t>
      </w:r>
      <w:r>
        <w:rPr/>
        <w:t xml:space="preserve"> sul territorio del Comune di Spoleto;</w:t>
      </w:r>
    </w:p>
    <w:p>
      <w:pPr>
        <w:pStyle w:val="Normal"/>
        <w:spacing w:before="0" w:after="0"/>
        <w:jc w:val="both"/>
        <w:rPr/>
      </w:pPr>
      <w:r>
        <w:rPr/>
        <w:t>5)</w:t>
        <w:tab/>
      </w:r>
      <w:r>
        <w:rPr>
          <w:b/>
          <w:bCs/>
        </w:rPr>
        <w:t>Dimensione:</w:t>
      </w:r>
      <w:r>
        <w:rPr/>
        <w:t xml:space="preserve"> superficie dovrà essere di circa 8.000 mq;</w:t>
      </w:r>
    </w:p>
    <w:p>
      <w:pPr>
        <w:pStyle w:val="Normal"/>
        <w:spacing w:before="0" w:after="0"/>
        <w:jc w:val="both"/>
        <w:rPr/>
      </w:pPr>
      <w:r>
        <w:rPr/>
        <w:t>6)</w:t>
        <w:tab/>
      </w:r>
      <w:r>
        <w:rPr>
          <w:b/>
          <w:bCs/>
        </w:rPr>
        <w:t>Caratteristiche del sito:</w:t>
      </w:r>
      <w:r>
        <w:rPr/>
        <w:t xml:space="preserve"> deve essere pianeggiante, seminativo (privo di alberi) e privo di ristagni </w:t>
        <w:tab/>
        <w:t>d’acqua;</w:t>
      </w:r>
    </w:p>
    <w:p>
      <w:pPr>
        <w:pStyle w:val="Normal"/>
        <w:spacing w:before="0" w:after="0"/>
        <w:jc w:val="both"/>
        <w:rPr/>
      </w:pPr>
      <w:r>
        <w:rPr/>
        <w:t>7)</w:t>
        <w:tab/>
      </w:r>
      <w:r>
        <w:rPr>
          <w:b/>
          <w:bCs/>
        </w:rPr>
        <w:t>Destinazione d'uso:</w:t>
      </w:r>
      <w:r>
        <w:rPr/>
        <w:t xml:space="preserve"> l’area deve essere libera da vincoli ostativi all'insediamento di attrazioni dello </w:t>
        <w:tab/>
        <w:t>spettacolo viaggiante e quindi urbanisticamente compatibile (la verifica sarà a cura del Comune);</w:t>
      </w:r>
    </w:p>
    <w:p>
      <w:pPr>
        <w:pStyle w:val="Normal"/>
        <w:spacing w:before="0" w:after="0"/>
        <w:jc w:val="both"/>
        <w:rPr/>
      </w:pPr>
      <w:r>
        <w:rPr/>
        <w:t>8)</w:t>
        <w:tab/>
      </w:r>
      <w:r>
        <w:rPr>
          <w:b/>
          <w:bCs/>
        </w:rPr>
        <w:t>Accessibilità:</w:t>
      </w:r>
      <w:r>
        <w:rPr/>
        <w:t xml:space="preserve"> l’area deve essere accessibile con veicoli pesanti (camion per il trasporto delle </w:t>
        <w:tab/>
        <w:t>attrazioni);</w:t>
      </w:r>
    </w:p>
    <w:p>
      <w:pPr>
        <w:pStyle w:val="Normal"/>
        <w:spacing w:before="0" w:after="0"/>
        <w:jc w:val="both"/>
        <w:rPr/>
      </w:pPr>
      <w:r>
        <w:rPr/>
        <w:t>9)</w:t>
        <w:tab/>
      </w:r>
      <w:r>
        <w:rPr>
          <w:b/>
          <w:bCs/>
        </w:rPr>
        <w:t>Sicurezza:</w:t>
      </w:r>
      <w:r>
        <w:rPr/>
        <w:t xml:space="preserve"> l’area non deve essere attraversata da linee elettriche e da ogni altra infrastruttura che </w:t>
        <w:tab/>
        <w:t>possano costituire pericolo o impedimento all’insediamento degli spettacoli viaggianti;</w:t>
      </w:r>
    </w:p>
    <w:p>
      <w:pPr>
        <w:pStyle w:val="Normal"/>
        <w:spacing w:before="0" w:after="0"/>
        <w:jc w:val="both"/>
        <w:rPr/>
      </w:pPr>
      <w:r>
        <w:rPr/>
        <w:t>10)</w:t>
        <w:tab/>
      </w:r>
      <w:r>
        <w:rPr>
          <w:b/>
          <w:bCs/>
        </w:rPr>
        <w:t>Dotazioni:</w:t>
      </w:r>
      <w:r>
        <w:rPr/>
        <w:t xml:space="preserve"> l’area, preferibilmente deve trovarsi in prossimità di infrastrutture per gli allacci idrici ed </w:t>
        <w:tab/>
        <w:t>elettrici o con possibilità di allaccio temporaneo;</w:t>
      </w:r>
    </w:p>
    <w:p>
      <w:pPr>
        <w:pStyle w:val="Normal"/>
        <w:spacing w:before="0" w:after="0"/>
        <w:jc w:val="left"/>
        <w:rPr>
          <w:b/>
          <w:bCs/>
        </w:rPr>
      </w:pPr>
      <w:r>
        <w:rPr>
          <w:b/>
          <w:bCs/>
        </w:rPr>
      </w:r>
    </w:p>
    <w:p>
      <w:pPr>
        <w:pStyle w:val="Normal"/>
        <w:spacing w:before="0" w:after="0"/>
        <w:jc w:val="left"/>
        <w:rPr/>
      </w:pPr>
      <w:r>
        <w:rPr>
          <w:b/>
          <w:bCs/>
        </w:rPr>
        <w:t>MODALITÀ DI PRESENTAZIONE DELLA MANIFESTAZIONE DI INTERESSE</w:t>
      </w:r>
    </w:p>
    <w:p>
      <w:pPr>
        <w:pStyle w:val="Normal"/>
        <w:spacing w:before="0" w:after="0"/>
        <w:jc w:val="both"/>
        <w:rPr/>
      </w:pPr>
      <w:r>
        <w:rPr/>
        <w:t xml:space="preserve">I soggetti interessati dovranno presentare la propria </w:t>
      </w:r>
      <w:r>
        <w:rPr>
          <w:rFonts w:eastAsia="Calibri" w:cs="" w:cstheme="minorBidi" w:eastAsiaTheme="minorHAnsi"/>
          <w:color w:val="auto"/>
          <w:kern w:val="2"/>
          <w:sz w:val="22"/>
          <w:szCs w:val="22"/>
          <w:lang w:val="it-IT" w:eastAsia="en-US" w:bidi="ar-SA"/>
          <w14:ligatures w14:val="standardContextual"/>
        </w:rPr>
        <w:t>manifestazioni d’interesse in carta libera ed in base allo schema</w:t>
      </w:r>
      <w:r>
        <w:rPr>
          <w:rFonts w:eastAsia="Calibri" w:cs="" w:cstheme="minorBidi" w:eastAsiaTheme="minorHAnsi"/>
          <w:color w:val="000000"/>
          <w:kern w:val="2"/>
          <w:sz w:val="22"/>
          <w:szCs w:val="22"/>
          <w:shd w:fill="auto" w:val="clear"/>
          <w:lang w:val="it-IT" w:eastAsia="en-US" w:bidi="ar-SA"/>
          <w14:ligatures w14:val="standardContextual"/>
        </w:rPr>
        <w:t xml:space="preserve"> allegato 1 al presente avviso che</w:t>
      </w:r>
      <w:r>
        <w:rPr>
          <w:rFonts w:eastAsia="Calibri" w:cs="" w:cstheme="minorBidi" w:eastAsiaTheme="minorHAnsi"/>
          <w:shd w:fill="auto" w:val="clear"/>
          <w14:ligatures w14:val="standardContextual"/>
        </w:rPr>
        <w:t xml:space="preserve"> dovrà contenere </w:t>
      </w:r>
      <w:r>
        <w:rPr/>
        <w:t>le seguenti informazioni:</w:t>
      </w:r>
    </w:p>
    <w:p>
      <w:pPr>
        <w:pStyle w:val="Normal"/>
        <w:widowControl/>
        <w:numPr>
          <w:ilvl w:val="0"/>
          <w:numId w:val="2"/>
        </w:numPr>
        <w:suppressAutoHyphens w:val="true"/>
        <w:bidi w:val="0"/>
        <w:spacing w:lineRule="auto" w:line="259" w:before="0" w:after="0"/>
        <w:ind w:hanging="283" w:left="283" w:right="0"/>
        <w:jc w:val="both"/>
        <w:rPr/>
      </w:pPr>
      <w:r>
        <w:rPr/>
        <w:t>dati identificativi del proprietario del terreno;</w:t>
      </w:r>
    </w:p>
    <w:p>
      <w:pPr>
        <w:pStyle w:val="Normal"/>
        <w:widowControl/>
        <w:numPr>
          <w:ilvl w:val="0"/>
          <w:numId w:val="2"/>
        </w:numPr>
        <w:suppressAutoHyphens w:val="true"/>
        <w:bidi w:val="0"/>
        <w:spacing w:lineRule="auto" w:line="259" w:before="0" w:after="0"/>
        <w:ind w:hanging="283" w:left="283" w:right="0"/>
        <w:jc w:val="left"/>
        <w:rPr/>
      </w:pPr>
      <w:r>
        <w:rPr/>
        <w:t>ubicazione (geo-localizzazione) e dati catastali dell'area (foglio e particella);</w:t>
      </w:r>
    </w:p>
    <w:p>
      <w:pPr>
        <w:pStyle w:val="Normal"/>
        <w:widowControl/>
        <w:numPr>
          <w:ilvl w:val="0"/>
          <w:numId w:val="2"/>
        </w:numPr>
        <w:suppressAutoHyphens w:val="true"/>
        <w:bidi w:val="0"/>
        <w:spacing w:lineRule="auto" w:line="259" w:before="0" w:after="0"/>
        <w:ind w:hanging="283" w:left="283" w:right="0"/>
        <w:jc w:val="left"/>
        <w:rPr/>
      </w:pPr>
      <w:r>
        <w:rPr/>
        <w:t>superficie complessiva del terreno offerto;</w:t>
      </w:r>
    </w:p>
    <w:p>
      <w:pPr>
        <w:pStyle w:val="Normal"/>
        <w:widowControl/>
        <w:numPr>
          <w:ilvl w:val="0"/>
          <w:numId w:val="2"/>
        </w:numPr>
        <w:suppressAutoHyphens w:val="true"/>
        <w:bidi w:val="0"/>
        <w:spacing w:lineRule="auto" w:line="259" w:before="0" w:after="0"/>
        <w:ind w:hanging="283" w:left="283" w:right="0"/>
        <w:jc w:val="left"/>
        <w:rPr/>
      </w:pPr>
      <w:r>
        <w:rPr/>
        <w:t>planimetria aggiornata del terreno (estratto di mappa catastale);</w:t>
      </w:r>
    </w:p>
    <w:p>
      <w:pPr>
        <w:pStyle w:val="Normal"/>
        <w:widowControl/>
        <w:numPr>
          <w:ilvl w:val="0"/>
          <w:numId w:val="2"/>
        </w:numPr>
        <w:suppressAutoHyphens w:val="true"/>
        <w:bidi w:val="0"/>
        <w:spacing w:lineRule="auto" w:line="259" w:before="0" w:after="0"/>
        <w:ind w:hanging="283" w:left="283" w:right="0"/>
        <w:jc w:val="left"/>
        <w:rPr/>
      </w:pPr>
      <w:r>
        <w:rPr/>
        <w:t>breve relazione sullo stato attuale dell'area (seminativo, arborato, in stato di abbandono, affittato, ecc.);</w:t>
      </w:r>
    </w:p>
    <w:p>
      <w:pPr>
        <w:pStyle w:val="Normal"/>
        <w:widowControl/>
        <w:numPr>
          <w:ilvl w:val="0"/>
          <w:numId w:val="2"/>
        </w:numPr>
        <w:suppressAutoHyphens w:val="true"/>
        <w:bidi w:val="0"/>
        <w:spacing w:lineRule="auto" w:line="259" w:before="0" w:after="0"/>
        <w:ind w:hanging="283" w:left="283" w:right="0"/>
        <w:jc w:val="left"/>
        <w:rPr/>
      </w:pPr>
      <w:r>
        <w:rPr/>
        <w:t>documentazione fotografica;</w:t>
      </w:r>
    </w:p>
    <w:p>
      <w:pPr>
        <w:pStyle w:val="Normal"/>
        <w:widowControl/>
        <w:numPr>
          <w:ilvl w:val="0"/>
          <w:numId w:val="2"/>
        </w:numPr>
        <w:suppressAutoHyphens w:val="true"/>
        <w:bidi w:val="0"/>
        <w:spacing w:lineRule="auto" w:line="259" w:before="0" w:after="0"/>
        <w:ind w:hanging="283" w:left="283" w:right="0"/>
        <w:jc w:val="left"/>
        <w:rPr/>
      </w:pPr>
      <w:r>
        <w:rPr/>
        <w:t>indirizzo di posta elettronica e numero di telefono per eventuali comunicazioni;</w:t>
      </w:r>
    </w:p>
    <w:p>
      <w:pPr>
        <w:pStyle w:val="Normal"/>
        <w:spacing w:before="0" w:after="0"/>
        <w:jc w:val="both"/>
        <w:rPr>
          <w:b/>
          <w:bCs/>
        </w:rPr>
      </w:pPr>
      <w:r>
        <w:rPr>
          <w:b/>
          <w:bCs/>
        </w:rPr>
      </w:r>
    </w:p>
    <w:p>
      <w:pPr>
        <w:pStyle w:val="Normal"/>
        <w:spacing w:before="0" w:after="0"/>
        <w:jc w:val="both"/>
        <w:rPr/>
      </w:pPr>
      <w:r>
        <w:rPr>
          <w:b/>
          <w:bCs/>
        </w:rPr>
        <w:t>SELEZIONE DELLE AREE</w:t>
      </w:r>
    </w:p>
    <w:p>
      <w:pPr>
        <w:pStyle w:val="Normal"/>
        <w:spacing w:before="0" w:after="0"/>
        <w:jc w:val="both"/>
        <w:rPr/>
      </w:pPr>
      <w:r>
        <w:rPr/>
        <w:t>Le proposte pervenute saranno valutate da una commissione che verificherà il rispetto dei requisiti di cui alle predette “condizioni dell’affidamento”. Il Comune si riserva il diritto di effettuare sopralluoghi e di richiedere ulteriore documentazione. I competenti uffici comunali avvieranno poi una fase di trattativa diretta con i proprietari dei terreni che saranno valutati idonei dalla commissione.</w:t>
      </w:r>
    </w:p>
    <w:p>
      <w:pPr>
        <w:pStyle w:val="Normal"/>
        <w:spacing w:before="0" w:after="0"/>
        <w:rPr>
          <w:b/>
          <w:bCs/>
        </w:rPr>
      </w:pPr>
      <w:r>
        <w:rPr>
          <w:b/>
          <w:bCs/>
        </w:rPr>
      </w:r>
    </w:p>
    <w:p>
      <w:pPr>
        <w:pStyle w:val="Normal"/>
        <w:spacing w:before="0" w:after="0"/>
        <w:jc w:val="both"/>
        <w:rPr/>
      </w:pPr>
      <w:r>
        <w:rPr/>
        <w:t xml:space="preserve">La manifestazione di interesse dovrà pervenire entro e non oltre le ore </w:t>
      </w:r>
      <w:r>
        <w:rPr>
          <w:b/>
          <w:bCs/>
        </w:rPr>
        <w:t xml:space="preserve">12:00 </w:t>
      </w:r>
      <w:r>
        <w:rPr/>
        <w:t>del giorno</w:t>
      </w:r>
      <w:r>
        <w:rPr>
          <w:b/>
          <w:bCs/>
        </w:rPr>
        <w:t xml:space="preserve"> </w:t>
      </w:r>
      <w:r>
        <w:rPr>
          <w:rFonts w:eastAsia="Calibri" w:cs="" w:cstheme="minorBidi" w:eastAsiaTheme="minorHAnsi"/>
          <w:b/>
          <w:bCs/>
          <w:shd w:fill="auto" w:val="clear"/>
          <w14:ligatures w14:val="standardContextual"/>
        </w:rPr>
        <w:t>16</w:t>
      </w:r>
      <w:r>
        <w:rPr>
          <w:b/>
          <w:bCs/>
        </w:rPr>
        <w:t xml:space="preserve"> </w:t>
      </w:r>
      <w:r>
        <w:rPr>
          <w:b/>
          <w:bCs/>
        </w:rPr>
        <w:t>febbraio</w:t>
      </w:r>
      <w:r>
        <w:rPr>
          <w:b/>
          <w:bCs/>
        </w:rPr>
        <w:t xml:space="preserve"> 2026</w:t>
      </w:r>
      <w:r>
        <w:rPr/>
        <w:t>, con una delle seguenti modalità:</w:t>
      </w:r>
    </w:p>
    <w:p>
      <w:pPr>
        <w:pStyle w:val="Normal"/>
        <w:widowControl/>
        <w:numPr>
          <w:ilvl w:val="0"/>
          <w:numId w:val="3"/>
        </w:numPr>
        <w:suppressAutoHyphens w:val="true"/>
        <w:bidi w:val="0"/>
        <w:spacing w:lineRule="auto" w:line="259" w:before="0" w:after="0"/>
        <w:ind w:hanging="283" w:left="283" w:right="0"/>
        <w:jc w:val="both"/>
        <w:rPr/>
      </w:pPr>
      <w:r>
        <w:rPr/>
        <w:t xml:space="preserve">invio tramite Posta Elettronica Certificata (PEC) a </w:t>
      </w:r>
      <w:r>
        <w:rPr>
          <w:b/>
          <w:bCs/>
        </w:rPr>
        <w:t>comune.spoleto@postacert.umbria.it;</w:t>
      </w:r>
    </w:p>
    <w:p>
      <w:pPr>
        <w:pStyle w:val="Normal"/>
        <w:widowControl/>
        <w:numPr>
          <w:ilvl w:val="0"/>
          <w:numId w:val="3"/>
        </w:numPr>
        <w:suppressAutoHyphens w:val="true"/>
        <w:bidi w:val="0"/>
        <w:spacing w:lineRule="auto" w:line="259" w:before="0" w:after="0"/>
        <w:ind w:hanging="283" w:left="283" w:right="0"/>
        <w:jc w:val="both"/>
        <w:rPr/>
      </w:pPr>
      <w:r>
        <w:rPr/>
        <w:t>consegna a mano presso l'Ufficio Protocollo del Comune di Spoleto, sito nel Palazzo Comunale, in Piazza del Comune n. 1.</w:t>
      </w:r>
    </w:p>
    <w:p>
      <w:pPr>
        <w:pStyle w:val="Normal"/>
        <w:spacing w:before="0" w:after="0"/>
        <w:jc w:val="both"/>
        <w:rPr>
          <w:b/>
          <w:bCs/>
        </w:rPr>
      </w:pPr>
      <w:r>
        <w:rPr>
          <w:b/>
          <w:bCs/>
        </w:rPr>
      </w:r>
    </w:p>
    <w:p>
      <w:pPr>
        <w:pStyle w:val="Normal"/>
        <w:spacing w:before="0" w:after="0"/>
        <w:jc w:val="both"/>
        <w:rPr/>
      </w:pPr>
      <w:r>
        <w:rPr>
          <w:b/>
          <w:bCs/>
        </w:rPr>
        <w:t>INFORMAZIONI</w:t>
      </w:r>
      <w:r>
        <w:rPr/>
        <w:br/>
        <w:t xml:space="preserve">Per informazioni o chiarimenti, è possibile contattare il Responsabile del Procedimento </w:t>
      </w:r>
      <w:r>
        <w:rPr>
          <w:rFonts w:eastAsia="Calibri" w:cs="" w:cstheme="minorBidi" w:eastAsiaTheme="minorHAnsi"/>
          <w:shd w:fill="auto" w:val="clear"/>
          <w14:ligatures w14:val="standardContextual"/>
        </w:rPr>
        <w:t>Dott. Geom. Paolo Maggi</w:t>
      </w:r>
      <w:r>
        <w:rPr>
          <w:shd w:fill="auto" w:val="clear"/>
        </w:rPr>
        <w:t xml:space="preserve"> con PEC all'indirizzo </w:t>
      </w:r>
      <w:hyperlink r:id="rId2">
        <w:r>
          <w:rPr>
            <w:rStyle w:val="Hyperlink"/>
            <w:shd w:fill="auto" w:val="clear"/>
          </w:rPr>
          <w:t>comune.spoleto@postacert.umbria.it</w:t>
        </w:r>
      </w:hyperlink>
    </w:p>
    <w:p>
      <w:pPr>
        <w:pStyle w:val="Normal"/>
        <w:spacing w:before="0" w:after="0"/>
        <w:jc w:val="both"/>
        <w:rPr/>
      </w:pPr>
      <w:r>
        <w:rPr>
          <w:b/>
          <w:bCs/>
        </w:rPr>
        <w:t xml:space="preserve"> </w:t>
      </w:r>
    </w:p>
    <w:p>
      <w:pPr>
        <w:pStyle w:val="Normal"/>
        <w:widowControl/>
        <w:bidi w:val="0"/>
        <w:spacing w:lineRule="auto" w:line="259" w:before="0" w:after="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1a7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Heading1">
    <w:name w:val="Heading 1"/>
    <w:basedOn w:val="Normal"/>
    <w:next w:val="Normal"/>
    <w:link w:val="Titolo1Carattere"/>
    <w:uiPriority w:val="9"/>
    <w:qFormat/>
    <w:rsid w:val="00c21a7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c21a7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c21a7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c21a7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c21a7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c21a7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c21a7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c21a7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c21a7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c21a7a"/>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uiPriority w:val="9"/>
    <w:semiHidden/>
    <w:qFormat/>
    <w:rsid w:val="00c21a7a"/>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uiPriority w:val="9"/>
    <w:semiHidden/>
    <w:qFormat/>
    <w:rsid w:val="00c21a7a"/>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uiPriority w:val="9"/>
    <w:semiHidden/>
    <w:qFormat/>
    <w:rsid w:val="00c21a7a"/>
    <w:rPr>
      <w:rFonts w:eastAsia="" w:cs="" w:cstheme="majorBidi" w:eastAsiaTheme="majorEastAsia"/>
      <w:i/>
      <w:iCs/>
      <w:color w:themeColor="accent1" w:themeShade="bf" w:val="2F5496"/>
    </w:rPr>
  </w:style>
  <w:style w:type="character" w:styleId="Titolo5Carattere" w:customStyle="1">
    <w:name w:val="Titolo 5 Carattere"/>
    <w:basedOn w:val="DefaultParagraphFont"/>
    <w:uiPriority w:val="9"/>
    <w:semiHidden/>
    <w:qFormat/>
    <w:rsid w:val="00c21a7a"/>
    <w:rPr>
      <w:rFonts w:eastAsia="" w:cs="" w:cstheme="majorBidi" w:eastAsiaTheme="majorEastAsia"/>
      <w:color w:themeColor="accent1" w:themeShade="bf" w:val="2F5496"/>
    </w:rPr>
  </w:style>
  <w:style w:type="character" w:styleId="Titolo6Carattere" w:customStyle="1">
    <w:name w:val="Titolo 6 Carattere"/>
    <w:basedOn w:val="DefaultParagraphFont"/>
    <w:uiPriority w:val="9"/>
    <w:semiHidden/>
    <w:qFormat/>
    <w:rsid w:val="00c21a7a"/>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c21a7a"/>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c21a7a"/>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c21a7a"/>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c21a7a"/>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c21a7a"/>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c21a7a"/>
    <w:rPr>
      <w:i/>
      <w:iCs/>
      <w:color w:themeColor="text1" w:themeTint="bf" w:val="404040"/>
    </w:rPr>
  </w:style>
  <w:style w:type="character" w:styleId="IntenseEmphasis">
    <w:name w:val="Intense Emphasis"/>
    <w:basedOn w:val="DefaultParagraphFont"/>
    <w:uiPriority w:val="21"/>
    <w:qFormat/>
    <w:rsid w:val="00c21a7a"/>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c21a7a"/>
    <w:rPr>
      <w:i/>
      <w:iCs/>
      <w:color w:themeColor="accent1" w:themeShade="bf" w:val="2F5496"/>
    </w:rPr>
  </w:style>
  <w:style w:type="character" w:styleId="IntenseReference">
    <w:name w:val="Intense Reference"/>
    <w:basedOn w:val="DefaultParagraphFont"/>
    <w:uiPriority w:val="32"/>
    <w:qFormat/>
    <w:rsid w:val="00c21a7a"/>
    <w:rPr>
      <w:b/>
      <w:bCs/>
      <w:smallCaps/>
      <w:color w:themeColor="accent1" w:themeShade="bf" w:val="2F5496"/>
      <w:spacing w:val="5"/>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Title">
    <w:name w:val="Title"/>
    <w:basedOn w:val="Normal"/>
    <w:next w:val="Normal"/>
    <w:link w:val="TitoloCarattere"/>
    <w:uiPriority w:val="10"/>
    <w:qFormat/>
    <w:rsid w:val="00c21a7a"/>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c21a7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c21a7a"/>
    <w:pPr>
      <w:spacing w:before="160" w:after="160"/>
      <w:jc w:val="center"/>
    </w:pPr>
    <w:rPr>
      <w:i/>
      <w:iCs/>
      <w:color w:themeColor="text1" w:themeTint="bf" w:val="404040"/>
    </w:rPr>
  </w:style>
  <w:style w:type="paragraph" w:styleId="ListParagraph">
    <w:name w:val="List Paragraph"/>
    <w:basedOn w:val="Normal"/>
    <w:uiPriority w:val="34"/>
    <w:qFormat/>
    <w:rsid w:val="00c21a7a"/>
    <w:pPr>
      <w:spacing w:before="0" w:after="160"/>
      <w:ind w:left="720"/>
      <w:contextualSpacing/>
    </w:pPr>
    <w:rPr/>
  </w:style>
  <w:style w:type="paragraph" w:styleId="IntenseQuote">
    <w:name w:val="Intense Quote"/>
    <w:basedOn w:val="Normal"/>
    <w:next w:val="Normal"/>
    <w:link w:val="CitazioneintensaCarattere"/>
    <w:uiPriority w:val="30"/>
    <w:qFormat/>
    <w:rsid w:val="00c21a7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spoleto@postacert.umbria.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LibreOffice/7.6.5.2$Windows_x86 LibreOffice_project/38d5f62f85355c192ef5f1dd47c5c0c0c6d6598b</Application>
  <AppVersion>15.0000</AppVersion>
  <Pages>2</Pages>
  <Words>628</Words>
  <Characters>3779</Characters>
  <CharactersWithSpaces>4380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2025-11-18T19:19:00Z</dcterms:created>
  <dc:creator>Sandro Frontalini</dc:creator>
  <dc:description/>
  <dc:language>it-IT</dc:language>
  <cp:lastModifiedBy/>
  <cp:lastPrinted>2025-12-03T09:26:17Z</cp:lastPrinted>
  <dcterms:modified xsi:type="dcterms:W3CDTF">2026-01-16T09:36:26Z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